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86</w:t>
      </w:r>
    </w:p>
    <w:p>
      <w:r>
        <w:t>Bundesgericht (BGE), 1994-07-22, DE</w:t>
      </w:r>
    </w:p>
    <w:p>
      <w:r>
        <w:rPr>
          <w:b/>
        </w:rPr>
        <w:t xml:space="preserve">Quelle: </w:t>
      </w:r>
      <w:r>
        <w:t>https://mcp.opencaselaw.ch/entscheid/bge_120 III 86</w:t>
      </w:r>
    </w:p>
    <w:p>
      <w:r>
        <w:t>FR: ATF 120 III 86</w:t>
      </w:r>
    </w:p>
    <w:p>
      <w:r>
        <w:t>IT: DTF 120 III 86</w:t>
      </w:r>
    </w:p>
    <w:p>
      <w:pPr>
        <w:pStyle w:val="Heading2"/>
      </w:pPr>
      <w:r>
        <w:t>Regeste</w:t>
      </w:r>
    </w:p>
    <w:p>
      <w:r>
        <w:t>Regeste Nachpfändung (Art. 145 SchKG). Nachpfändung von Amtes wegen und Nachpfändung auf Antrag eines Gläubigers (E. 3b/3c). Wird die Verwertung zuvor gepfändeter Gegenstände unmöglich, so ist unabhängig der Gründe, die dazu geführt haben, von Amtes wegen eine Nachpfändung vorzunehmen (E. 3d).</w:t>
      </w:r>
    </w:p>
    <w:p>
      <w:pPr>
        <w:pStyle w:val="Heading2"/>
      </w:pPr>
      <w:r>
        <w:t>Erwägungen</w:t>
      </w:r>
    </w:p>
    <w:p>
      <w:r>
        <w:rPr>
          <w:b/>
        </w:rPr>
        <w:t>E. 3</w:t>
      </w:r>
    </w:p>
    <w:p>
      <w:r>
        <w:t>b) Stellt sich nach der Verwertung der gepfändeten Vermögenswerte heraus, dass ihr Erlös entgegen der Schätzung des Betreibungsamtes den Betrag der Forderungen nicht deckt, ist von Amtes wegen eine Nachpfändung vorzunehmen ( Art. 145 SchKG ; BGE 114 III 98 E. 1c S. 101; AMONN, Grundriss des Schuldbetreibungs- und Konkursrechts, 5.A. 1993, S. 211 N. 19; GILLIÉRON, Poursuite pour dettes, faillite et concordat, 3.A. 1993, S. 197; FRITZSCHE/WALDER, Schuldbetreibung und Konkurs nach schweizerischem Recht, 1984, Band I, S. 458 N. 9). c) Werden Vermögenswerte des Schuldners entgegen Art. 91 SchKG nicht in die Pfändung einbezogen oder vom Betreibungsamt nicht in die Pfändungsurkunde aufgenommen, obwohl sie zur Zeit der Pfändung schon vorhanden waren, so sind diese nicht von Amtes wegen, sondern nur auf ausdrücklichen Antrag eines Gläubigers nachzupfänden (JAEGER, Das Bundesgesetz betreffend Schuldbetreibung und Konkurs, 3.A. 1911, Band I, Art. 145 N. 1). d) Entgegen der Darstellung des Rekurrenten liegt der Grund für die vom Bezirksgericht angeordnete Nachpfändung nicht in der irrtümlichen BGE 120 III 86 S. 87 Ausstellung von Pfandausfallscheinen statt von Verlustscheinen. Ausschlaggebend ist vielmehr, dass die von den Strafverfolgungsbehörden beschlagnahmte, für die Gruppe Nr. 489 zuvor gepfändete Waffensammlung durch Verfügung des Statthalteramtes dem Betreibungsamt herausgegeben und alsdann durch das Obergericht gemäss Art. 58 StGB wieder eingezogen worden war. Der mit der Ausfällung vollstreckbare obergerichtliche Entscheid wurde indessen vom Kassationsgericht später aufgehoben; die dagegen eingereichte staatsrechtliche Beschwerde wurde vom Bundesgericht abgewiesen. Hat der Schuldner unerlaubterweise über gepfändete Gegenstände verfügt oder ist er unter Mitnahme derselben mit unbekanntem Ziel weggezogen, so ist nach bisheriger Rechtsprechung des Bundesgerichtes in analoger Anwendung von Art. 145 SchKG von Amtes wegen zur Nachpfändung zu schreiten. Der Sinn dieser Regelung erfordert nämlich nicht nur im Falle eines ungenügenden Verwertungserlöses eine Nachpfändung, sondern auch dann, wenn die Verwertung des Pfandgutes - aus welchen Gründen auch immer - nicht mehr möglich ist ( BGE 58 III 164 E. 2; 48 III 87 /88 E. 2). Diese Auffassung wird denn auch von der Lehre befürwortet (AMONN, a.a.O., S. 211 N. 19; FRITZSCHE/WALDER, a.a.O., S. 458 N. 10 Fn. 17). Auch im vorliegenden Fall ist die Verwertung der zuvor gepfändeten Gegenstände unmöglich geworden. Da es auf die Gründe, die dazu geführt haben, nach der Rechtsprechung gerade nicht ankommen kann, sind die Voraussetzungen einer Nachpfändung auch hier erfüllt. Sie war vorzunehmen, da die ursprüngliche Pfändung durch den Wegfall der strafrechtlichen Beschlagnahme nicht wieder auflebt.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